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D69" w:rsidRDefault="00C94D69" w:rsidP="00C94D69">
      <w:pPr>
        <w:pStyle w:val="Paragrafoelenco"/>
        <w:spacing w:before="100" w:beforeAutospacing="1" w:after="100" w:afterAutospacing="1" w:line="360" w:lineRule="auto"/>
        <w:jc w:val="both"/>
        <w:rPr>
          <w:b/>
          <w:bCs/>
          <w:color w:val="FF0000"/>
        </w:rPr>
      </w:pPr>
      <w:r>
        <w:rPr>
          <w:b/>
          <w:bCs/>
          <w:color w:val="FF0000"/>
        </w:rPr>
        <w:t xml:space="preserve">Dall’Agenzia delle Entrate arriva la circolare n. 36/E per sciogliere i dubbi degli operatori del settore, mettendo a sistema le vecchie istruzioni e fornendone nuove per inquadrare correttamente gli impianti fotovoltaici sul piano fiscale e catastale. </w:t>
      </w:r>
    </w:p>
    <w:p w:rsidR="00C94D69" w:rsidRDefault="00C94D69" w:rsidP="00C94D69">
      <w:pPr>
        <w:pStyle w:val="Paragrafoelenco"/>
        <w:spacing w:before="100" w:beforeAutospacing="1" w:after="100" w:afterAutospacing="1" w:line="360" w:lineRule="auto"/>
        <w:jc w:val="both"/>
        <w:rPr>
          <w:b/>
          <w:bCs/>
          <w:color w:val="FF0000"/>
        </w:rPr>
      </w:pPr>
      <w:r>
        <w:rPr>
          <w:b/>
          <w:b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1BEA3FEA" wp14:editId="04A2A5C4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2314575" cy="1981200"/>
                <wp:effectExtent l="0" t="0" r="0" b="0"/>
                <wp:wrapSquare wrapText="bothSides"/>
                <wp:docPr id="1" name="AutoShape 2" descr="fo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314575" cy="198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2" o:spid="_x0000_s1026" alt="foto.jpg" style="position:absolute;margin-left:0;margin-top:0;width:182.25pt;height:156pt;z-index:2516592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FZ9vAIAAMoFAAAOAAAAZHJzL2Uyb0RvYy54bWysVF1v0zAUfUfiP1h+T/Ox9CPR0mlrGoQ0&#10;YNLgB7iJkxgS29hu04H471w7bdduLwjIQ+TPc8+59/he3+z7Du2o0kzwDIeTACPKS1Ex3mT4y+fC&#10;W2CkDeEV6QSnGX6iGt8s3765HmRKI9GKrqIKAQjX6SAz3BojU9/XZUt7oidCUg6btVA9MTBVjV8p&#10;MgB63/lREMz8QahKKlFSrWE1Hzfx0uHXNS3Np7rW1KAuw8DNuL9y/439+8trkjaKyJaVBxrkL1j0&#10;hHEIeoLKiSFoq9grqJ6VSmhRm0kpel/UNSup0wBqwuCFmseWSOq0QHK0PKVJ/z/Y8uPuQSFWQe0w&#10;4qSHEt1ujXCRUYRRRXUJ6aqFEZOvsrH5GqRO4dqjfFBWsZb3ovymERerlvCG3moJWR/xjktKiaGl&#10;pALioYXwLzDsRAMa2gwfRAUMCDBw2dzXqrcxIE9o74r2dCoa3RtUwmJ0FcbT+RSjEvbCZBGCLVwM&#10;kh6vS6XNOyp6ZAcZVsDPwZPdvTaWDkmPR2w0LgrWdc4ZHb9YgIPjCgSHq3bP0nCF/pkEyXqxXsRe&#10;HM3WXhzkuXdbrGJvVoTzaX6Vr1Z5+MvGDeO0ZVVFuQ1zNF0Y/1lRD/Yf7XKynRYdqyycpaRVs1l1&#10;Cu0ImL5w3yEhZ8f8SxouCaDlhaQwioO7KPGK2WLuxUU89ZJ5sPCCMLlLZkGcxHlxKemecfrvktCQ&#10;4WQaTV2Vzki/0Ba477U2kvbMQFvpWJ/hxekQSa0H17xypTWEdeP4LBWW/nMqoNzHQjvHWpOO/t+I&#10;6gkMqwTYCdoKNEAYtEL9wGiAZpJh/X1LFMWoe8/B9EkYx7b7uAm4NYKJOt/ZnO8QXgJUhg1G43Bl&#10;xo61lYo1LUQKXWK4sE+1Zs7C9hGNrA7PCxqGU3JobrYjnc/dqecWvPwNAAD//wMAUEsDBBQABgAI&#10;AAAAIQD2eVDo3gAAAAUBAAAPAAAAZHJzL2Rvd25yZXYueG1sTI9PS8NAEMXvQr/DMgUvYjetWiRm&#10;U6QgFhGK6Z/zNjtNQrOzaXabxG/v1Itehje84b3fJIvB1qLD1leOFEwnEQik3JmKCgXbzdv9Mwgf&#10;NBldO0IF3+hhkY5uEh0b19MXdlkoBIeQj7WCMoQmltLnJVrtJ65BYu/oWqsDr20hTat7Dre1nEXR&#10;XFpdETeUusFlifkpu1gFfb7u9pvPd7m+268cnVfnZbb7UOp2PLy+gAg4hL9juOIzOqTMdHAXMl7U&#10;CviR8DvZe5g/PoE4sJjOIpBpIv/Tpz8AAAD//wMAUEsBAi0AFAAGAAgAAAAhALaDOJL+AAAA4QEA&#10;ABMAAAAAAAAAAAAAAAAAAAAAAFtDb250ZW50X1R5cGVzXS54bWxQSwECLQAUAAYACAAAACEAOP0h&#10;/9YAAACUAQAACwAAAAAAAAAAAAAAAAAvAQAAX3JlbHMvLnJlbHNQSwECLQAUAAYACAAAACEARuxW&#10;fbwCAADKBQAADgAAAAAAAAAAAAAAAAAuAgAAZHJzL2Uyb0RvYy54bWxQSwECLQAUAAYACAAAACEA&#10;9nlQ6N4AAAAFAQAADwAAAAAAAAAAAAAAAAAWBQAAZHJzL2Rvd25yZXYueG1sUEsFBgAAAAAEAAQA&#10;8wAAACEGAAAAAA==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  <w:r>
        <w:rPr>
          <w:b/>
          <w:bCs/>
          <w:color w:val="000099"/>
        </w:rPr>
        <w:t>Con la circolare n. 36/E, l'Agenzia delle Entrate scioglie i dubbi degli operatori del settore tra vecchie e nuove istruzioni. In particolare</w:t>
      </w:r>
      <w:r>
        <w:rPr>
          <w:b/>
          <w:bCs/>
          <w:color w:val="000099"/>
          <w:highlight w:val="yellow"/>
        </w:rPr>
        <w:t>, il documento spiega quando queste installazioni sono qualificabili come beni mobili o immobili e il diverso trattamento che ne deriva in termini di imposte dirette, Iva e registro.</w:t>
      </w:r>
      <w:r>
        <w:rPr>
          <w:b/>
          <w:bCs/>
          <w:color w:val="000099"/>
        </w:rPr>
        <w:t xml:space="preserve"> Passa poi in rassegna le ipotesi di impianti realizzati su beni di terzi e quelli acquistati in leasing, la possibilità di disapplicare la disciplina delle società non operative a coloro che producono energia fotovoltaica, anche nel caso specifico delle holding, e il trattamento Iva delle locazioni di terreni destinati a realizzare impianti. Ultime considerazioni della circolare dedicate, invece, al nuovo sistema di incentivi “Quinto Conto Energia”.</w:t>
      </w:r>
      <w:r>
        <w:rPr>
          <w:b/>
          <w:bCs/>
          <w:color w:val="000099"/>
        </w:rPr>
        <w:br/>
      </w:r>
      <w:r>
        <w:rPr>
          <w:b/>
          <w:bCs/>
          <w:color w:val="000099"/>
        </w:rPr>
        <w:br/>
        <w:t xml:space="preserve">La circolare pone l’accento sulla corretta qualifica immobiliare degli impianti. </w:t>
      </w:r>
      <w:r>
        <w:rPr>
          <w:b/>
          <w:bCs/>
          <w:color w:val="000099"/>
          <w:highlight w:val="yellow"/>
        </w:rPr>
        <w:t>Si considerano beni immobili quando costituiscono una centrale di produzione di energia elettrica che può essere autonomamente censita nella categoria catastale D/1 “opifici” oppure D/10 “fabbricati per funzioni produttive connesse ad attività agricole”, nel caso in cui abbiano i requisiti di ruralità. Inoltre, si considerano immobili quando sono posizionati sulle pareti di un immobile o su un tetto e per esse sussiste l’obbligo della dichiarazione di variazione catastale. A questo proposito, il documento precisa che la dichiarazione di variazione catastale è necessaria quando l’impianto fotovoltaico integrato su un immobile ne incrementa il valore capitale (o la redditività ordinaria) di almeno il 15%. In questo caso, infatti, l’impianto non è accatastato autonomamente, ma aumenta la rendita catastale dell’immobile principale, senza mutarne la classificazione.</w:t>
      </w:r>
      <w:r>
        <w:rPr>
          <w:b/>
          <w:bCs/>
          <w:color w:val="000099"/>
        </w:rPr>
        <w:br/>
      </w:r>
      <w:r>
        <w:rPr>
          <w:b/>
          <w:bCs/>
          <w:color w:val="000099"/>
        </w:rPr>
        <w:br/>
        <w:t>Sono, invece, classificabili come beni mobili quando non è necessario dichiararli al catasto né autonomamente né come variazione dell’unità immobiliare di cui fanno parte perché rispettano specifici requisiti in termini di potenza e dimensioni.</w:t>
      </w:r>
      <w:r>
        <w:rPr>
          <w:b/>
          <w:bCs/>
          <w:color w:val="000099"/>
        </w:rPr>
        <w:br/>
      </w:r>
      <w:r>
        <w:rPr>
          <w:b/>
          <w:bCs/>
          <w:color w:val="000099"/>
        </w:rPr>
        <w:br/>
      </w:r>
      <w:r>
        <w:rPr>
          <w:b/>
          <w:bCs/>
          <w:color w:val="000099"/>
          <w:highlight w:val="yellow"/>
        </w:rPr>
        <w:t>La circolare, nel capitolo dedicato al trattamento Iva delle cessioni di impianti considerati beni immobili, precisa che l’aliquota ridotta al 10% si applica all’acquisto o alla realizzazione di impianti di produzione di energia elettrica da fonte solare-fotovoltaica</w:t>
      </w:r>
      <w:r>
        <w:rPr>
          <w:b/>
          <w:bCs/>
          <w:color w:val="000099"/>
        </w:rPr>
        <w:t xml:space="preserve"> e spiega quali sono. Si definiscono così gli impianti in grado di produrre e fornire elettricità di potenza tale da poter </w:t>
      </w:r>
      <w:r>
        <w:rPr>
          <w:b/>
          <w:bCs/>
          <w:color w:val="000099"/>
        </w:rPr>
        <w:lastRenderedPageBreak/>
        <w:t xml:space="preserve">essere utilizzata o immessa nella rete di distribuzione e che, a questo scopo, contengano quei componenti necessari individuati nella norma </w:t>
      </w:r>
      <w:proofErr w:type="spellStart"/>
      <w:r>
        <w:rPr>
          <w:b/>
          <w:bCs/>
          <w:color w:val="000099"/>
        </w:rPr>
        <w:t>Cei</w:t>
      </w:r>
      <w:proofErr w:type="spellEnd"/>
      <w:r>
        <w:rPr>
          <w:b/>
          <w:bCs/>
          <w:color w:val="000099"/>
        </w:rPr>
        <w:t xml:space="preserve"> 82-25.</w:t>
      </w:r>
      <w:r>
        <w:rPr>
          <w:b/>
          <w:bCs/>
          <w:color w:val="000099"/>
        </w:rPr>
        <w:br/>
      </w:r>
      <w:r>
        <w:rPr>
          <w:b/>
          <w:bCs/>
          <w:color w:val="000099"/>
        </w:rPr>
        <w:br/>
      </w:r>
      <w:r>
        <w:rPr>
          <w:b/>
          <w:bCs/>
          <w:color w:val="FF0000"/>
        </w:rPr>
        <w:t>A partire dal 2014 le cessioni di impianti fotovoltaici qualificati come beni immobili, che non rientrano in campo Iva, scontano il Registro nella misura proporzionale del 9%. Per questi trasferimenti, l’imposta da corrispondere non può essere inferiore a mille euro. Le stesse operazioni sono soggette alle imposte ipotecarie e catastali fisse a 50 euro.</w:t>
      </w:r>
    </w:p>
    <w:p w:rsidR="00A21EE4" w:rsidRDefault="00A21EE4">
      <w:bookmarkStart w:id="0" w:name="_GoBack"/>
      <w:bookmarkEnd w:id="0"/>
    </w:p>
    <w:sectPr w:rsidR="00A21E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5ED"/>
    <w:rsid w:val="00A21EE4"/>
    <w:rsid w:val="00C94D69"/>
    <w:rsid w:val="00FA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94D69"/>
    <w:pPr>
      <w:spacing w:after="0" w:line="240" w:lineRule="auto"/>
      <w:ind w:left="720"/>
    </w:pPr>
    <w:rPr>
      <w:rFonts w:ascii="Calibri" w:eastAsia="Times New Roman" w:hAnsi="Calibri" w:cs="Times New Roman"/>
      <w:lang w:eastAsia="it-IT"/>
    </w:rPr>
  </w:style>
  <w:style w:type="character" w:customStyle="1" w:styleId="apple-converted-space">
    <w:name w:val="apple-converted-space"/>
    <w:basedOn w:val="Carpredefinitoparagrafo"/>
    <w:rsid w:val="00C94D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94D69"/>
    <w:pPr>
      <w:spacing w:after="0" w:line="240" w:lineRule="auto"/>
      <w:ind w:left="720"/>
    </w:pPr>
    <w:rPr>
      <w:rFonts w:ascii="Calibri" w:eastAsia="Times New Roman" w:hAnsi="Calibri" w:cs="Times New Roman"/>
      <w:lang w:eastAsia="it-IT"/>
    </w:rPr>
  </w:style>
  <w:style w:type="character" w:customStyle="1" w:styleId="apple-converted-space">
    <w:name w:val="apple-converted-space"/>
    <w:basedOn w:val="Carpredefinitoparagrafo"/>
    <w:rsid w:val="00C94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7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Dentico</dc:creator>
  <cp:keywords/>
  <dc:description/>
  <cp:lastModifiedBy>Dentico</cp:lastModifiedBy>
  <cp:revision>3</cp:revision>
  <dcterms:created xsi:type="dcterms:W3CDTF">2014-01-10T06:55:00Z</dcterms:created>
  <dcterms:modified xsi:type="dcterms:W3CDTF">2014-01-10T06:55:00Z</dcterms:modified>
</cp:coreProperties>
</file>