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639" w:rsidRPr="002B1639" w:rsidRDefault="002B1639" w:rsidP="002B1639">
      <w:pPr>
        <w:spacing w:before="150" w:after="0" w:line="330" w:lineRule="atLeast"/>
        <w:outlineLvl w:val="1"/>
        <w:rPr>
          <w:rFonts w:ascii="Calibri" w:eastAsia="Times New Roman" w:hAnsi="Calibri" w:cs="Times New Roman"/>
          <w:b/>
          <w:bCs/>
          <w:color w:val="FF0000"/>
          <w:lang w:eastAsia="it-IT"/>
        </w:rPr>
      </w:pPr>
      <w:r w:rsidRPr="002B1639"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6ADD40A4" wp14:editId="4505CCE3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76575" cy="2200275"/>
                <wp:effectExtent l="0" t="0" r="0" b="0"/>
                <wp:wrapSquare wrapText="bothSides"/>
                <wp:docPr id="1" name="AutoShape 2" descr="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6575" cy="2200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2" o:spid="_x0000_s1026" alt="pos.jpg" style="position:absolute;margin-left:0;margin-top:0;width:242.25pt;height:173.25pt;z-index:25165926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2B1639">
        <w:rPr>
          <w:rFonts w:ascii="Calibri" w:eastAsia="Times New Roman" w:hAnsi="Calibri" w:cs="Times New Roman"/>
          <w:b/>
          <w:bCs/>
          <w:color w:val="FF0000"/>
          <w:lang w:eastAsia="it-IT"/>
        </w:rPr>
        <w:t xml:space="preserve">I professionisti che, dal 30 giugno 2014, non si doteranno del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FF0000"/>
          <w:lang w:eastAsia="it-IT"/>
        </w:rPr>
        <w:t>Pos</w:t>
      </w:r>
      <w:proofErr w:type="spellEnd"/>
      <w:r w:rsidRPr="002B1639">
        <w:rPr>
          <w:rFonts w:ascii="Calibri" w:eastAsia="Times New Roman" w:hAnsi="Calibri" w:cs="Times New Roman"/>
          <w:b/>
          <w:bCs/>
          <w:color w:val="FF0000"/>
          <w:lang w:eastAsia="it-IT"/>
        </w:rPr>
        <w:t xml:space="preserve"> non saranno soggetti a sanzioni. Lo ha affermato il Ministero dell’Economia e Finanze, rispondendo ad una interrogazione.</w:t>
      </w:r>
    </w:p>
    <w:p w:rsidR="002B1639" w:rsidRPr="002B1639" w:rsidRDefault="002B1639" w:rsidP="002B1639">
      <w:pPr>
        <w:spacing w:before="150" w:after="0" w:line="360" w:lineRule="auto"/>
        <w:jc w:val="both"/>
        <w:outlineLvl w:val="1"/>
        <w:rPr>
          <w:rFonts w:ascii="Calibri" w:eastAsia="Times New Roman" w:hAnsi="Calibri" w:cs="Times New Roman"/>
          <w:b/>
          <w:bCs/>
          <w:color w:val="000099"/>
          <w:lang w:eastAsia="it-IT"/>
        </w:rPr>
      </w:pP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Le norme sul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Pos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 non creano un obbligo giuridico, ma piuttosto un onere, che pesa sul professionista solo se il cliente chiede di pagare il servizio con moneta elettronica.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  <w:t> 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  <w:t>Il Ministero dell’Economia e Finanze ha anche ricordato che la Banca d’Italia incoraggia il pagamento con moneta elettronica per vincere la propensione italiana al denaro contante che, a differenza degli altri Paesi europei, provoca una forte evasione fiscale. La moneta elettronica non ha infatti bisogno di procedure, come accade invece per bonifici e assegni, ma richiede costi fissi legati all’emissione degli strumenti e alla gestione dell’infrastruttura, che decrescono al crescere delle operazioni.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  <w:t xml:space="preserve">Per ridurre i costi connessi all’uso del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Pos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, la Banca d’Italia promuove quindi la formazione di tavoli di confronto con le banche e gli altri operatori.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  <w:t xml:space="preserve">Il Ministero riferendosi al ricorso presentato al Tar Lazio dal Consiglio nazionale degli architetti, pianificatori, paesaggisti e conservatori (CNAPPC) per chiedere l’annullamento del DM 24 gennaio 2014, ha spiegato che la decisione di respingerlo è stata dovuta al fatto che il decreto non oltrepassa i limiti stabiliti dalla norma primaria, cioè dal DL 179/2012, che ha previsto l’introduzione del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Pos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 per i professionisti.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</w:r>
      <w:r w:rsidRPr="002B1639">
        <w:rPr>
          <w:rFonts w:ascii="Calibri" w:eastAsia="Times New Roman" w:hAnsi="Calibri" w:cs="Times New Roman"/>
          <w:b/>
          <w:bCs/>
          <w:color w:val="000099"/>
          <w:highlight w:val="yellow"/>
          <w:lang w:eastAsia="it-IT"/>
        </w:rPr>
        <w:t xml:space="preserve">In altre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highlight w:val="yellow"/>
          <w:lang w:eastAsia="it-IT"/>
        </w:rPr>
        <w:t>paroleil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highlight w:val="yellow"/>
          <w:lang w:eastAsia="it-IT"/>
        </w:rPr>
        <w:t xml:space="preserve"> decreto non crea un obbligo per il professionista, ma dà al cliente una scelta in più sulla forma di pagamento da utilizzare.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  <w:t>Un parere analogo era stato espresso dal Consiglio nazionale degli ingegneri (</w:t>
      </w:r>
      <w:r w:rsidRPr="002B1639">
        <w:rPr>
          <w:rFonts w:ascii="Calibri" w:eastAsia="Times New Roman" w:hAnsi="Calibri" w:cs="Times New Roman"/>
          <w:color w:val="000099"/>
          <w:lang w:eastAsia="it-IT"/>
        </w:rPr>
        <w:t>CNI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), che con una circolare aveva affermato che non tutti i professionisti dovranno dotarsi subito del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Pos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, ma solo quelli che intendono farne realmente uso. Il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Cni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 aveva inoltre suggerito che altre modalità certe di accettazione dei pagamenti, come bonifico elettronico, addebito diretto, bonifico bancario e assegno raggiungono lo stesso obiettivo di disincentivare l’uso del contante e prevenire l’evasione fiscale.</w:t>
      </w:r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br/>
        <w:t xml:space="preserve">L’obbligo del </w:t>
      </w:r>
      <w:proofErr w:type="spellStart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>Pos</w:t>
      </w:r>
      <w:proofErr w:type="spellEnd"/>
      <w:r w:rsidRPr="002B1639">
        <w:rPr>
          <w:rFonts w:ascii="Calibri" w:eastAsia="Times New Roman" w:hAnsi="Calibri" w:cs="Times New Roman"/>
          <w:b/>
          <w:bCs/>
          <w:color w:val="000099"/>
          <w:lang w:eastAsia="it-IT"/>
        </w:rPr>
        <w:t xml:space="preserve"> è stato previsto dal DL 179/2012, convertito nella Legge 221/2012, ed è stato in seguito disciplinato dal DM 24 gennaio 2014, in base al quale l’obbligo di accettare la moneta elettronica si applica ai pagamenti per l’acquisto di prodotti o la prestazione di servizi di importo superiore a 30 euro, e vale per tutti i professionisti e imprese, a prescindere dal fatturato.</w:t>
      </w:r>
    </w:p>
    <w:p w:rsidR="0074311F" w:rsidRDefault="0074311F">
      <w:bookmarkStart w:id="0" w:name="_GoBack"/>
      <w:bookmarkEnd w:id="0"/>
    </w:p>
    <w:sectPr w:rsidR="007431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32"/>
    <w:rsid w:val="002B1639"/>
    <w:rsid w:val="0074311F"/>
    <w:rsid w:val="00F9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Dentico</dc:creator>
  <cp:keywords/>
  <dc:description/>
  <cp:lastModifiedBy>Dentico</cp:lastModifiedBy>
  <cp:revision>3</cp:revision>
  <dcterms:created xsi:type="dcterms:W3CDTF">2014-06-30T06:16:00Z</dcterms:created>
  <dcterms:modified xsi:type="dcterms:W3CDTF">2014-06-30T06:16:00Z</dcterms:modified>
</cp:coreProperties>
</file>